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24" w:rsidRDefault="00DE3B24" w:rsidP="00DE3B24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Приложение № 13 </w:t>
      </w:r>
    </w:p>
    <w:p w:rsidR="00DE3B24" w:rsidRDefault="00DE3B24" w:rsidP="00F230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Описание основных кластеров конкурентов</w:t>
      </w:r>
    </w:p>
    <w:p w:rsid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E2D">
        <w:rPr>
          <w:rFonts w:ascii="Times New Roman" w:hAnsi="Times New Roman"/>
          <w:sz w:val="24"/>
          <w:szCs w:val="24"/>
        </w:rPr>
        <w:t>По данным Ев</w:t>
      </w:r>
      <w:bookmarkStart w:id="0" w:name="_GoBack"/>
      <w:bookmarkEnd w:id="0"/>
      <w:r w:rsidRPr="00A50E2D">
        <w:rPr>
          <w:rFonts w:ascii="Times New Roman" w:hAnsi="Times New Roman"/>
          <w:sz w:val="24"/>
          <w:szCs w:val="24"/>
        </w:rPr>
        <w:t>ропейской кластерной платформы (</w:t>
      </w:r>
      <w:r w:rsidRPr="00A50E2D">
        <w:rPr>
          <w:rFonts w:ascii="Times New Roman" w:hAnsi="Times New Roman"/>
          <w:sz w:val="24"/>
          <w:szCs w:val="24"/>
          <w:lang w:val="en-US"/>
        </w:rPr>
        <w:t>The</w:t>
      </w:r>
      <w:r w:rsidRPr="00A50E2D">
        <w:rPr>
          <w:rFonts w:ascii="Times New Roman" w:hAnsi="Times New Roman"/>
          <w:sz w:val="24"/>
          <w:szCs w:val="24"/>
        </w:rPr>
        <w:t xml:space="preserve"> </w:t>
      </w:r>
      <w:r w:rsidRPr="00A50E2D">
        <w:rPr>
          <w:rFonts w:ascii="Times New Roman" w:hAnsi="Times New Roman"/>
          <w:sz w:val="24"/>
          <w:szCs w:val="24"/>
          <w:lang w:val="en-US"/>
        </w:rPr>
        <w:t>European</w:t>
      </w:r>
      <w:r w:rsidRPr="00A50E2D">
        <w:rPr>
          <w:rFonts w:ascii="Times New Roman" w:hAnsi="Times New Roman"/>
          <w:sz w:val="24"/>
          <w:szCs w:val="24"/>
        </w:rPr>
        <w:t xml:space="preserve"> </w:t>
      </w:r>
      <w:r w:rsidRPr="00A50E2D">
        <w:rPr>
          <w:rFonts w:ascii="Times New Roman" w:hAnsi="Times New Roman"/>
          <w:sz w:val="24"/>
          <w:szCs w:val="24"/>
          <w:lang w:val="en-US"/>
        </w:rPr>
        <w:t>Cluster</w:t>
      </w:r>
      <w:r w:rsidRPr="00A50E2D">
        <w:rPr>
          <w:rFonts w:ascii="Times New Roman" w:hAnsi="Times New Roman"/>
          <w:sz w:val="24"/>
          <w:szCs w:val="24"/>
        </w:rPr>
        <w:t xml:space="preserve"> </w:t>
      </w:r>
      <w:r w:rsidRPr="00A50E2D">
        <w:rPr>
          <w:rFonts w:ascii="Times New Roman" w:hAnsi="Times New Roman"/>
          <w:sz w:val="24"/>
          <w:szCs w:val="24"/>
          <w:lang w:val="en-US"/>
        </w:rPr>
        <w:t>Collaboration</w:t>
      </w:r>
      <w:r w:rsidRPr="00A50E2D">
        <w:rPr>
          <w:rFonts w:ascii="Times New Roman" w:hAnsi="Times New Roman"/>
          <w:sz w:val="24"/>
          <w:szCs w:val="24"/>
        </w:rPr>
        <w:t xml:space="preserve"> </w:t>
      </w:r>
      <w:r w:rsidRPr="00A50E2D">
        <w:rPr>
          <w:rFonts w:ascii="Times New Roman" w:hAnsi="Times New Roman"/>
          <w:sz w:val="24"/>
          <w:szCs w:val="24"/>
          <w:lang w:val="en-US"/>
        </w:rPr>
        <w:t>Platform</w:t>
      </w:r>
      <w:r w:rsidRPr="00A50E2D">
        <w:rPr>
          <w:rFonts w:ascii="Times New Roman" w:hAnsi="Times New Roman"/>
          <w:sz w:val="24"/>
          <w:szCs w:val="24"/>
        </w:rPr>
        <w:t xml:space="preserve">) основными конкурентами Некоммерческого партнерства «Калужский фармацевтический кластер» в технологической сфере являются шесть кластеров. При этом наибольшей степенью конкурентных преимуществ обладает </w:t>
      </w:r>
      <w:proofErr w:type="spellStart"/>
      <w:r w:rsidRPr="00A50E2D">
        <w:rPr>
          <w:rFonts w:ascii="Times New Roman" w:hAnsi="Times New Roman"/>
          <w:sz w:val="24"/>
          <w:szCs w:val="24"/>
        </w:rPr>
        <w:t>North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0E2D">
        <w:rPr>
          <w:rFonts w:ascii="Times New Roman" w:hAnsi="Times New Roman"/>
          <w:sz w:val="24"/>
          <w:szCs w:val="24"/>
        </w:rPr>
        <w:t>East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0E2D">
        <w:rPr>
          <w:rFonts w:ascii="Times New Roman" w:hAnsi="Times New Roman"/>
          <w:sz w:val="24"/>
          <w:szCs w:val="24"/>
        </w:rPr>
        <w:t>of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0E2D">
        <w:rPr>
          <w:rFonts w:ascii="Times New Roman" w:hAnsi="Times New Roman"/>
          <w:sz w:val="24"/>
          <w:szCs w:val="24"/>
        </w:rPr>
        <w:t>England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0E2D">
        <w:rPr>
          <w:rFonts w:ascii="Times New Roman" w:hAnsi="Times New Roman"/>
          <w:sz w:val="24"/>
          <w:szCs w:val="24"/>
        </w:rPr>
        <w:t>Process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0E2D">
        <w:rPr>
          <w:rFonts w:ascii="Times New Roman" w:hAnsi="Times New Roman"/>
          <w:sz w:val="24"/>
          <w:szCs w:val="24"/>
        </w:rPr>
        <w:t>Industry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0E2D">
        <w:rPr>
          <w:rFonts w:ascii="Times New Roman" w:hAnsi="Times New Roman"/>
          <w:sz w:val="24"/>
          <w:szCs w:val="24"/>
        </w:rPr>
        <w:t>Cluster</w:t>
      </w:r>
      <w:proofErr w:type="spellEnd"/>
      <w:r w:rsidRPr="00A50E2D">
        <w:rPr>
          <w:rFonts w:ascii="Times New Roman" w:hAnsi="Times New Roman"/>
          <w:sz w:val="24"/>
          <w:szCs w:val="24"/>
        </w:rPr>
        <w:t xml:space="preserve"> (NEPIC), Великобритания.</w:t>
      </w:r>
    </w:p>
    <w:p w:rsidR="00DE3B24" w:rsidRPr="00A50E2D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7"/>
        <w:gridCol w:w="1805"/>
        <w:gridCol w:w="3677"/>
        <w:gridCol w:w="3651"/>
      </w:tblGrid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Наименование зарубежного кластера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Количественные и качественные показатели, по которым кластер превосходит зарубежный кластер (территорию)  по состоянию на 2016г.</w:t>
            </w:r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Количественные и качественные показатели, по которым кластер отстает от зарубежного кластера (территории)  по состоянию на 2016г.</w:t>
            </w:r>
          </w:p>
        </w:tc>
      </w:tr>
      <w:tr w:rsidR="00DE3B24" w:rsidRPr="00DE3B24" w:rsidTr="00C51E10">
        <w:trPr>
          <w:trHeight w:val="1579"/>
        </w:trPr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North East of England Process Industry Cluster (NEPIC), </w:t>
            </w:r>
            <w:r w:rsidRPr="00DE3B24">
              <w:rPr>
                <w:rFonts w:ascii="Times New Roman" w:hAnsi="Times New Roman"/>
                <w:sz w:val="20"/>
                <w:szCs w:val="20"/>
              </w:rPr>
              <w:t>Великобритания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1 ноября 2002г.;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Количество сотрудников 11-20 чел.;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Наличие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Gold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Участие в Европейском стратегическом партнерстве ESCP-4i): есть</w:t>
            </w:r>
            <w:proofErr w:type="gramEnd"/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400;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7 шт.</w:t>
            </w:r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Non-profit partnership «Pharmaceutical cluster of Kaluga region», </w:t>
            </w: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15 марта 2012г.;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Наличие бронзового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Bronze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Количество сотрудников: 1-5 чел.;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Участие в Европейском стратегическом партнерстве ESCP-4i): нет;</w:t>
            </w:r>
            <w:proofErr w:type="gramEnd"/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47;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 региональные и федеральные программы поддержки.</w:t>
            </w: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>Beauty</w:t>
            </w:r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>Cluster Barcelona</w:t>
            </w:r>
            <w:r w:rsidRPr="00DE3B24">
              <w:rPr>
                <w:rFonts w:ascii="Times New Roman" w:hAnsi="Times New Roman"/>
                <w:sz w:val="20"/>
                <w:szCs w:val="20"/>
              </w:rPr>
              <w:t>, Испания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23 апрель 2014г.;</w:t>
            </w:r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Количество сотрудников: 1-5 чел. 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Наличие бронзового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Bronze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Участие в Европейском стратегическом партнерстве ESCP-4i): нет</w:t>
            </w:r>
            <w:proofErr w:type="gramEnd"/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90;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 1 шт.</w:t>
            </w: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Green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Chemistry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Cluster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, Польша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2 июля 2007г.;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Участие в Европейском стратегическом партнерстве ESCP-4i): есть;</w:t>
            </w:r>
            <w:proofErr w:type="gramEnd"/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Количество сотрудников: 1-5 чел. 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Не имеет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Cluster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Excellence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64;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 1 шт.</w:t>
            </w: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GreenWin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, Бельгия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1 января 2011г.;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Количество сотрудников: 11-20 чел.;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Являются</w:t>
            </w:r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3B24">
              <w:rPr>
                <w:rFonts w:ascii="Times New Roman" w:hAnsi="Times New Roman"/>
                <w:sz w:val="20"/>
                <w:szCs w:val="20"/>
              </w:rPr>
              <w:t>членом</w:t>
            </w:r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>Biobased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Industries Consortium, ECRN,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>Suschem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Vanguard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>Bioeconomy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Наличие бронзового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Bronze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Участие в Европейском стратегическом партнерстве ESCP-4i): нет;</w:t>
            </w:r>
            <w:proofErr w:type="gramEnd"/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187;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 1 шт.</w:t>
            </w: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0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Lithuanian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Plastics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Cluster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, Литва</w:t>
            </w:r>
          </w:p>
        </w:tc>
        <w:tc>
          <w:tcPr>
            <w:tcW w:w="3677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1 января 2015г.;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Являются членом ECP4;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12;</w:t>
            </w:r>
          </w:p>
        </w:tc>
        <w:tc>
          <w:tcPr>
            <w:tcW w:w="3651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Количество сотрудников: 6-10 чел.;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Не имеет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Cluster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Excellence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Участие в Европейском стратегическом партнерстве ESCP-4i): нет;</w:t>
            </w:r>
            <w:proofErr w:type="gramEnd"/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 0 шт.</w:t>
            </w:r>
          </w:p>
        </w:tc>
      </w:tr>
    </w:tbl>
    <w:p w:rsid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Конкурентные преимущества </w:t>
      </w:r>
      <w:r w:rsidRPr="00DE3B24">
        <w:rPr>
          <w:rFonts w:ascii="Times New Roman" w:hAnsi="Times New Roman"/>
          <w:sz w:val="24"/>
          <w:szCs w:val="24"/>
          <w:lang w:val="en-US"/>
        </w:rPr>
        <w:t>North</w:t>
      </w:r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  <w:lang w:val="en-US"/>
        </w:rPr>
        <w:t>East</w:t>
      </w:r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  <w:lang w:val="en-US"/>
        </w:rPr>
        <w:t>of</w:t>
      </w:r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  <w:lang w:val="en-US"/>
        </w:rPr>
        <w:t>England</w:t>
      </w:r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  <w:lang w:val="en-US"/>
        </w:rPr>
        <w:t>Process</w:t>
      </w:r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  <w:lang w:val="en-US"/>
        </w:rPr>
        <w:t>Industry</w:t>
      </w:r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  <w:lang w:val="en-US"/>
        </w:rPr>
        <w:t>Cluster</w:t>
      </w:r>
      <w:r w:rsidRPr="00DE3B24">
        <w:rPr>
          <w:rFonts w:ascii="Times New Roman" w:hAnsi="Times New Roman"/>
          <w:sz w:val="24"/>
          <w:szCs w:val="24"/>
        </w:rPr>
        <w:t xml:space="preserve"> (</w:t>
      </w:r>
      <w:r w:rsidRPr="00DE3B24">
        <w:rPr>
          <w:rFonts w:ascii="Times New Roman" w:hAnsi="Times New Roman"/>
          <w:sz w:val="24"/>
          <w:szCs w:val="24"/>
          <w:lang w:val="en-US"/>
        </w:rPr>
        <w:t>NEPIC</w:t>
      </w:r>
      <w:r w:rsidRPr="00DE3B24">
        <w:rPr>
          <w:rFonts w:ascii="Times New Roman" w:hAnsi="Times New Roman"/>
          <w:sz w:val="24"/>
          <w:szCs w:val="24"/>
        </w:rPr>
        <w:t>) заключаются в том, что данный кластер резко выделяется по дате образования, количеству участников, наличием большого количества фондов поддержки организаций, развитой инфраструктурой и объединением значительной территории региона.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3B24">
        <w:rPr>
          <w:rFonts w:ascii="Times New Roman" w:hAnsi="Times New Roman"/>
          <w:sz w:val="24"/>
          <w:szCs w:val="24"/>
          <w:lang w:val="en-US"/>
        </w:rPr>
        <w:t>NEPIC</w:t>
      </w:r>
      <w:r w:rsidRPr="00DE3B24">
        <w:rPr>
          <w:rFonts w:ascii="Times New Roman" w:hAnsi="Times New Roman"/>
          <w:sz w:val="24"/>
          <w:szCs w:val="24"/>
        </w:rPr>
        <w:t xml:space="preserve"> охватывают широкий спектр отраслей промышленности, включая нефтехимическую сферу, полимеры &amp; материалы, химические вещества, фармацевтические препараты, биотехнологии и возобновляемые источники энергии.</w:t>
      </w:r>
      <w:proofErr w:type="gramEnd"/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lastRenderedPageBreak/>
        <w:t xml:space="preserve">Данный кластер имеет мощную производственную базу, находится в частной собственности во главе с успешными и устойчивыми организациями, которые помогают им расти. Кластер является результатом слияния двух субъектов - Химическая ассоциация </w:t>
      </w:r>
      <w:proofErr w:type="spellStart"/>
      <w:r w:rsidRPr="00DE3B24">
        <w:rPr>
          <w:rFonts w:ascii="Times New Roman" w:hAnsi="Times New Roman"/>
          <w:sz w:val="24"/>
          <w:szCs w:val="24"/>
        </w:rPr>
        <w:t>Teesside</w:t>
      </w:r>
      <w:proofErr w:type="spellEnd"/>
      <w:r w:rsidRPr="00DE3B24">
        <w:rPr>
          <w:rFonts w:ascii="Times New Roman" w:hAnsi="Times New Roman"/>
          <w:sz w:val="24"/>
          <w:szCs w:val="24"/>
        </w:rPr>
        <w:t>, которая представляет тяжелую базовую химическую промышленность  на юге региона, и Кластер P&amp;S, который работает с фармацевтикой и наукой.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Примером успешных и устойчивых компаний </w:t>
      </w:r>
      <w:r w:rsidRPr="00DE3B24">
        <w:rPr>
          <w:rFonts w:ascii="Times New Roman" w:hAnsi="Times New Roman"/>
          <w:sz w:val="24"/>
          <w:szCs w:val="24"/>
          <w:lang w:val="en-US"/>
        </w:rPr>
        <w:t>NEPIC</w:t>
      </w:r>
      <w:r w:rsidRPr="00DE3B24">
        <w:rPr>
          <w:rFonts w:ascii="Times New Roman" w:hAnsi="Times New Roman"/>
          <w:sz w:val="24"/>
          <w:szCs w:val="24"/>
        </w:rPr>
        <w:t xml:space="preserve"> может служить </w:t>
      </w:r>
      <w:proofErr w:type="spellStart"/>
      <w:r w:rsidRPr="00DE3B24">
        <w:rPr>
          <w:rFonts w:ascii="Times New Roman" w:hAnsi="Times New Roman"/>
          <w:sz w:val="24"/>
          <w:szCs w:val="24"/>
        </w:rPr>
        <w:t>Fujifilm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Diosynth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E3B24">
        <w:rPr>
          <w:rFonts w:ascii="Times New Roman" w:hAnsi="Times New Roman"/>
          <w:sz w:val="24"/>
          <w:szCs w:val="24"/>
        </w:rPr>
        <w:t>специализирующаяся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на биотехнологиях. Эта компания разрабатывает процессы и имеет производственные мощности для микробных и млекопитающих систем, а также одну из самых передовых в мире одноразовых производственных утилизирующих люков. Поддержка осуществляется тремя многонациональными поставщиками, а именно </w:t>
      </w:r>
      <w:proofErr w:type="spellStart"/>
      <w:r w:rsidRPr="00DE3B24">
        <w:rPr>
          <w:rFonts w:ascii="Times New Roman" w:hAnsi="Times New Roman"/>
          <w:sz w:val="24"/>
          <w:szCs w:val="24"/>
        </w:rPr>
        <w:t>Merck-Millipore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(хроматография СМИ), </w:t>
      </w:r>
      <w:proofErr w:type="spellStart"/>
      <w:r w:rsidRPr="00DE3B24">
        <w:rPr>
          <w:rFonts w:ascii="Times New Roman" w:hAnsi="Times New Roman"/>
          <w:sz w:val="24"/>
          <w:szCs w:val="24"/>
        </w:rPr>
        <w:t>ThermoFisher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Scientific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(доступное производственное оборудование) и </w:t>
      </w:r>
      <w:proofErr w:type="spellStart"/>
      <w:r w:rsidRPr="00DE3B24">
        <w:rPr>
          <w:rFonts w:ascii="Times New Roman" w:hAnsi="Times New Roman"/>
          <w:sz w:val="24"/>
          <w:szCs w:val="24"/>
        </w:rPr>
        <w:t>Parker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domnick-hunter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(стерильная фильтрация и оборудование DSP).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В </w:t>
      </w:r>
      <w:r w:rsidRPr="00DE3B24">
        <w:rPr>
          <w:rFonts w:ascii="Times New Roman" w:hAnsi="Times New Roman"/>
          <w:b/>
          <w:sz w:val="24"/>
          <w:szCs w:val="24"/>
        </w:rPr>
        <w:t xml:space="preserve">Польше </w:t>
      </w:r>
      <w:r w:rsidRPr="00DE3B24">
        <w:rPr>
          <w:rFonts w:ascii="Times New Roman" w:hAnsi="Times New Roman"/>
          <w:sz w:val="24"/>
          <w:szCs w:val="24"/>
        </w:rPr>
        <w:t xml:space="preserve">фармацевтический кластер объединяет </w:t>
      </w:r>
      <w:proofErr w:type="gramStart"/>
      <w:r w:rsidRPr="00DE3B24">
        <w:rPr>
          <w:rFonts w:ascii="Times New Roman" w:hAnsi="Times New Roman"/>
          <w:sz w:val="24"/>
          <w:szCs w:val="24"/>
        </w:rPr>
        <w:t>производственные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бизнес-проекты как отраслевые, так и межотраслевые. Единая система управления позволяет создавать институциональные структуры (ядро и хребет) кластера, объединяющие  проекты из разных отраслей. 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E3B24">
        <w:rPr>
          <w:rFonts w:ascii="Times New Roman" w:hAnsi="Times New Roman"/>
          <w:sz w:val="24"/>
          <w:szCs w:val="24"/>
        </w:rPr>
        <w:t>Green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Chemistry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Cluster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является успешным кластером на международной научно-исследовательской базе, которая фокусируется на предприятиях и научно-исследовательских институтах вокруг НИОКР и демонстрационных проектов, связанных с так называемой «зеленой химии», что приводит к более инновационной деятельности своих участников на польских и зарубежных рынках.</w:t>
      </w:r>
      <w:proofErr w:type="gramEnd"/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Кластер имеет более 60 участников, в том числе, крупные компании, малые и средние предприятия и другие. 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Деятельность кластера осуществляется по четырем направлениям: удобрения, упаковочные материалы, эффективность использования энергии и материалов для восстановления. Работа над последним направлением была начата на рубеже 2014-2015 годов, в соответствии с европейскими тенденциями. Кластер акцентирует внимание на обмене знаниями и опытом, поэтому Управляющая организация кластера организует регулярные встречи, тренинги и конференции. Также кластер проводит ежегодную конференцию "CHEMIKA Экспо", для обмена опытом и знаний. Значительная группа заинтересованных сторон участвуют в разработке новых продуктов и услуг, а также научно-исследовательских и опытно-конструкторских разработках. Тесное сотрудничество компаний с Центром </w:t>
      </w:r>
      <w:proofErr w:type="spellStart"/>
      <w:r w:rsidRPr="00DE3B24">
        <w:rPr>
          <w:rFonts w:ascii="Times New Roman" w:hAnsi="Times New Roman"/>
          <w:sz w:val="24"/>
          <w:szCs w:val="24"/>
        </w:rPr>
        <w:t>Bioimmobilisation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и CBIMO, технологическими университетами в Щецине вносит свой вклад в разработку и внедрение инновационных решений в химическую промышленность.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Преимущества </w:t>
      </w:r>
      <w:proofErr w:type="spellStart"/>
      <w:r w:rsidRPr="00DE3B24">
        <w:rPr>
          <w:rFonts w:ascii="Times New Roman" w:hAnsi="Times New Roman"/>
          <w:sz w:val="24"/>
          <w:szCs w:val="24"/>
        </w:rPr>
        <w:t>Green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Chemistry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3B24">
        <w:rPr>
          <w:rFonts w:ascii="Times New Roman" w:hAnsi="Times New Roman"/>
          <w:sz w:val="24"/>
          <w:szCs w:val="24"/>
        </w:rPr>
        <w:t>Cluster</w:t>
      </w:r>
      <w:proofErr w:type="spellEnd"/>
      <w:r w:rsidRPr="00DE3B24">
        <w:rPr>
          <w:rFonts w:ascii="Times New Roman" w:hAnsi="Times New Roman"/>
          <w:sz w:val="24"/>
          <w:szCs w:val="24"/>
        </w:rPr>
        <w:t>:</w:t>
      </w:r>
    </w:p>
    <w:p w:rsidR="00DE3B24" w:rsidRPr="00DE3B24" w:rsidRDefault="00DE3B24" w:rsidP="00DE3B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Имеет эффективную систему образования, обеспечивающую высококачественное обучение, которое отвечает потребностям международного рынка, что является питательной средой для инноваций;</w:t>
      </w:r>
    </w:p>
    <w:p w:rsidR="00DE3B24" w:rsidRPr="00DE3B24" w:rsidRDefault="00DE3B24" w:rsidP="00DE3B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Полная программа финансовых стимулов для поощрения создания новых компаний. Финансовая помощь предоставляется для закупки оборудования, НИОКР, профессиональной подготовки, экспорта и т.д. Эта помощь также дополнена другими очень щедрыми грантами, </w:t>
      </w:r>
      <w:proofErr w:type="gramStart"/>
      <w:r w:rsidRPr="00DE3B24">
        <w:rPr>
          <w:rFonts w:ascii="Times New Roman" w:hAnsi="Times New Roman"/>
          <w:sz w:val="24"/>
          <w:szCs w:val="24"/>
        </w:rPr>
        <w:t>выделенные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в рамках европейских программ.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Кластер </w:t>
      </w:r>
      <w:proofErr w:type="spellStart"/>
      <w:r w:rsidRPr="00DE3B24">
        <w:rPr>
          <w:rFonts w:ascii="Times New Roman" w:hAnsi="Times New Roman"/>
          <w:sz w:val="24"/>
          <w:szCs w:val="24"/>
        </w:rPr>
        <w:t>GreenWin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, </w:t>
      </w:r>
      <w:r w:rsidRPr="00DE3B24">
        <w:rPr>
          <w:rFonts w:ascii="Times New Roman" w:hAnsi="Times New Roman"/>
          <w:b/>
          <w:sz w:val="24"/>
          <w:szCs w:val="24"/>
        </w:rPr>
        <w:t>Бельгия</w:t>
      </w:r>
      <w:r w:rsidRPr="00DE3B24">
        <w:rPr>
          <w:rFonts w:ascii="Times New Roman" w:hAnsi="Times New Roman"/>
          <w:sz w:val="24"/>
          <w:szCs w:val="24"/>
        </w:rPr>
        <w:t xml:space="preserve"> фокусируется на жизненном цикле материалов. Деятельность кластера направлена на уменьшение воздействия на окружающую среду за счет технологического развития и  инноваций в следующих областях:</w:t>
      </w:r>
    </w:p>
    <w:p w:rsidR="00DE3B24" w:rsidRPr="00DE3B24" w:rsidRDefault="00DE3B24" w:rsidP="00DE3B2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производство более устойчивых продуктов и материалов с использованием возобновляемых сырьевых материалов (на биологической основе) или вторичных материалов;</w:t>
      </w:r>
    </w:p>
    <w:p w:rsidR="00DE3B24" w:rsidRPr="00DE3B24" w:rsidRDefault="00DE3B24" w:rsidP="00DE3B2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3B24">
        <w:rPr>
          <w:rFonts w:ascii="Times New Roman" w:hAnsi="Times New Roman"/>
          <w:sz w:val="24"/>
          <w:szCs w:val="24"/>
        </w:rPr>
        <w:lastRenderedPageBreak/>
        <w:t>производство более прочной, более надежных продуктов, которые не токсичны при их использовании и, в конце своего жизненного цикла могут быть использованы во вторичной переработке;</w:t>
      </w:r>
      <w:proofErr w:type="gramEnd"/>
    </w:p>
    <w:p w:rsidR="00DE3B24" w:rsidRPr="00DE3B24" w:rsidRDefault="00DE3B24" w:rsidP="00DE3B2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устойчивое развитие, интеграция и внедрение материалов в компоненты и системы, которые сами по себе являются экологически чистыми: системы хранения энергии или конструкций экологической деятельности и т.д.;</w:t>
      </w:r>
    </w:p>
    <w:p w:rsidR="00DE3B24" w:rsidRPr="00DE3B24" w:rsidRDefault="00DE3B24" w:rsidP="00DE3B2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лечение и повторное использование отходов и сточных вод, с конечной целью «нулевых отходов» в течение всего процесса, от производства продуктов и материалов до конечного демонтажа компонентов и систем.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В </w:t>
      </w:r>
      <w:r w:rsidRPr="00DE3B24">
        <w:rPr>
          <w:rFonts w:ascii="Times New Roman" w:hAnsi="Times New Roman"/>
          <w:b/>
          <w:sz w:val="24"/>
          <w:szCs w:val="24"/>
        </w:rPr>
        <w:t>Литовской Республике</w:t>
      </w:r>
      <w:r w:rsidRPr="00DE3B24">
        <w:rPr>
          <w:rFonts w:ascii="Times New Roman" w:hAnsi="Times New Roman"/>
          <w:sz w:val="24"/>
          <w:szCs w:val="24"/>
        </w:rPr>
        <w:t xml:space="preserve"> инвесторов привлекают не только в свободные экономические зоны, но и в промышленные парки. Развитие промышленных парков является частью реализации региональной политики Литвы. Эксперты в области региональной политики отмечают, что стимулирование инвестиций в регионы поможет решению проблемы централизации, характерной для Литвы. В частности, уровень жизни в столице Литвы – г. Вильнюсе и в г. Таураге, расположенном в западной части Литвы, отличается в 7 раз. 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7"/>
        <w:gridCol w:w="2325"/>
        <w:gridCol w:w="3425"/>
        <w:gridCol w:w="3383"/>
      </w:tblGrid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Наименование российского кластера</w:t>
            </w:r>
          </w:p>
        </w:tc>
        <w:tc>
          <w:tcPr>
            <w:tcW w:w="34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Количественные и качественные показатели, по которым кластер превосходит российский кластер (территорию)  по состоянию на 2016г.</w:t>
            </w:r>
          </w:p>
        </w:tc>
        <w:tc>
          <w:tcPr>
            <w:tcW w:w="3383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Количественные и качественные показатели, по которым кластер отстает от российского кластера (территории)  по состоянию на 2016г.</w:t>
            </w:r>
          </w:p>
        </w:tc>
      </w:tr>
      <w:tr w:rsidR="00DE3B24" w:rsidRPr="00DE3B24" w:rsidTr="00C51E10">
        <w:trPr>
          <w:trHeight w:val="1579"/>
        </w:trPr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Некоммерческое партнерство «Алтайский биофармацевтический кластер»</w:t>
            </w:r>
          </w:p>
        </w:tc>
        <w:tc>
          <w:tcPr>
            <w:tcW w:w="34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июнь 2008г.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Выпускается более 150 видов лекарственных средств (ЛС), около 1000 видов биологически активных добавок (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БАДов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), субстанций ЛС</w:t>
            </w:r>
          </w:p>
        </w:tc>
        <w:tc>
          <w:tcPr>
            <w:tcW w:w="3383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Кол-во участников: 36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Некоммерческое партнёрство «Северо-Западный кластер медицинской, фармацевтической промышленности и радиационных технологий»</w:t>
            </w:r>
          </w:p>
        </w:tc>
        <w:tc>
          <w:tcPr>
            <w:tcW w:w="34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Год основания: 2010г. 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Кол-во участников:145 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более 4,5 тыс. га производственных, инженерн</w:t>
            </w: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подготовленных земельных участков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3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около 100 наименований лекарственных средств;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Уральский фармацевтический кластер</w:t>
            </w:r>
          </w:p>
        </w:tc>
        <w:tc>
          <w:tcPr>
            <w:tcW w:w="34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2010г.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Сильный образовательный потенциал: 150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DE3B24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E3B24">
              <w:rPr>
                <w:rFonts w:ascii="Times New Roman" w:hAnsi="Times New Roman"/>
                <w:sz w:val="20"/>
                <w:szCs w:val="20"/>
              </w:rPr>
              <w:t>тудентов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проходят обучение в 49-ти ВУЗах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Свердловскои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̆ области, 600 научных сотрудников трудится в 55-ти НИИ, среди которых основная часть институтов входит в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УрО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РАН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Свердловская область занимает выгодное географическое положение, находясь на стыке Европы и Азии</w:t>
            </w:r>
          </w:p>
        </w:tc>
        <w:tc>
          <w:tcPr>
            <w:tcW w:w="3383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В него входят более 30 компаний - участников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B24" w:rsidRPr="00DE3B24" w:rsidTr="00C51E10">
        <w:tc>
          <w:tcPr>
            <w:tcW w:w="0" w:type="auto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3B24">
              <w:rPr>
                <w:rFonts w:ascii="Times New Roman" w:hAnsi="Times New Roman"/>
                <w:b/>
                <w:sz w:val="20"/>
                <w:szCs w:val="20"/>
              </w:rPr>
              <w:t>НП «Калужский фармацевтический кластер»</w:t>
            </w:r>
          </w:p>
        </w:tc>
        <w:tc>
          <w:tcPr>
            <w:tcW w:w="3425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Год основания: 15 марта 2012г.;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 xml:space="preserve">Наличие бронзового сертификата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Bronze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3B24">
              <w:rPr>
                <w:rFonts w:ascii="Times New Roman" w:hAnsi="Times New Roman"/>
                <w:sz w:val="20"/>
                <w:szCs w:val="20"/>
              </w:rPr>
              <w:t>Label</w:t>
            </w:r>
            <w:proofErr w:type="spellEnd"/>
            <w:r w:rsidRPr="00DE3B2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Более 109 наименований ЛС и более 20 фармацевтических субстанций</w:t>
            </w:r>
          </w:p>
        </w:tc>
        <w:tc>
          <w:tcPr>
            <w:tcW w:w="3383" w:type="dxa"/>
            <w:vAlign w:val="center"/>
          </w:tcPr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Количество сотрудников: 1-5 чел.;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Общее количество участников: 63;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3B24">
              <w:rPr>
                <w:rFonts w:ascii="Times New Roman" w:hAnsi="Times New Roman"/>
                <w:sz w:val="20"/>
                <w:szCs w:val="20"/>
              </w:rPr>
              <w:t>Программы поддержки:  региональные и федеральные программы поддержки.</w:t>
            </w:r>
          </w:p>
          <w:p w:rsidR="00DE3B24" w:rsidRPr="00DE3B24" w:rsidRDefault="00DE3B24" w:rsidP="00DE3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Алтайский биофармацевтический кластер (АБФК) – один из элементов инновационной структуры  </w:t>
      </w:r>
      <w:proofErr w:type="spellStart"/>
      <w:r w:rsidRPr="00DE3B24">
        <w:rPr>
          <w:rFonts w:ascii="Times New Roman" w:hAnsi="Times New Roman"/>
          <w:sz w:val="24"/>
          <w:szCs w:val="24"/>
        </w:rPr>
        <w:t>наукограда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Бийск, состоящий из 36 организаций, включая </w:t>
      </w:r>
      <w:r w:rsidRPr="00DE3B24">
        <w:rPr>
          <w:rFonts w:ascii="Times New Roman" w:hAnsi="Times New Roman"/>
          <w:sz w:val="24"/>
          <w:szCs w:val="24"/>
        </w:rPr>
        <w:lastRenderedPageBreak/>
        <w:t>таких российских лидеров по производству биологически активных добавок (БАД) и фармацевтических препаратов, как «</w:t>
      </w:r>
      <w:proofErr w:type="spellStart"/>
      <w:r w:rsidRPr="00DE3B24">
        <w:rPr>
          <w:rFonts w:ascii="Times New Roman" w:hAnsi="Times New Roman"/>
          <w:sz w:val="24"/>
          <w:szCs w:val="24"/>
        </w:rPr>
        <w:t>Эвалар</w:t>
      </w:r>
      <w:proofErr w:type="spellEnd"/>
      <w:r w:rsidRPr="00DE3B24">
        <w:rPr>
          <w:rFonts w:ascii="Times New Roman" w:hAnsi="Times New Roman"/>
          <w:sz w:val="24"/>
          <w:szCs w:val="24"/>
        </w:rPr>
        <w:t>» и «</w:t>
      </w:r>
      <w:proofErr w:type="spellStart"/>
      <w:r w:rsidRPr="00DE3B24">
        <w:rPr>
          <w:rFonts w:ascii="Times New Roman" w:hAnsi="Times New Roman"/>
          <w:sz w:val="24"/>
          <w:szCs w:val="24"/>
        </w:rPr>
        <w:t>Алтайвитамины</w:t>
      </w:r>
      <w:proofErr w:type="spellEnd"/>
      <w:r w:rsidRPr="00DE3B24">
        <w:rPr>
          <w:rFonts w:ascii="Times New Roman" w:hAnsi="Times New Roman"/>
          <w:sz w:val="24"/>
          <w:szCs w:val="24"/>
        </w:rPr>
        <w:t>», – создан в целях поддержки инновационного предпринимательства в биофармацевтическом секторе. Наличие в составе АБФК научных, образовательных и инновационных предприятий позволяет выстроить всю технологическую цепочку развития инноваций: от фундаментальных исследований до серийного производства нового продукта.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Кластер функционирует по четырем основным направлениям производства: химико-фармацевтическому, биофармацевтическому, производству продуктов питания с заданными полезными свойствами и производству медицинской техники. Такое сочетание позволяет получить мощный синергетический эффект.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Конкурентными  преимуществами Алтайского биофармацевтического кластера являются: наличие уникального природного сырья, система генерации новых знаний в сфере фармацевтики и статус города Бийска - </w:t>
      </w:r>
      <w:proofErr w:type="spellStart"/>
      <w:r w:rsidRPr="00DE3B24">
        <w:rPr>
          <w:rFonts w:ascii="Times New Roman" w:hAnsi="Times New Roman"/>
          <w:sz w:val="24"/>
          <w:szCs w:val="24"/>
        </w:rPr>
        <w:t>наукограда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Российской Федерации, где расположены основные предприятия кластера.</w:t>
      </w:r>
      <w:r w:rsidRPr="00DE3B24">
        <w:rPr>
          <w:rFonts w:ascii="Times New Roman" w:hAnsi="Times New Roman"/>
          <w:b/>
          <w:sz w:val="24"/>
          <w:szCs w:val="24"/>
        </w:rPr>
        <w:t xml:space="preserve"> 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3B24">
        <w:rPr>
          <w:rFonts w:ascii="Times New Roman" w:hAnsi="Times New Roman"/>
          <w:b/>
          <w:sz w:val="24"/>
          <w:szCs w:val="24"/>
        </w:rPr>
        <w:t>Петербургский</w:t>
      </w:r>
      <w:proofErr w:type="gramEnd"/>
      <w:r w:rsidRPr="00DE3B24">
        <w:rPr>
          <w:rFonts w:ascii="Times New Roman" w:hAnsi="Times New Roman"/>
          <w:b/>
          <w:sz w:val="24"/>
          <w:szCs w:val="24"/>
        </w:rPr>
        <w:t xml:space="preserve"> фармкластер</w:t>
      </w:r>
      <w:r w:rsidRPr="00DE3B24">
        <w:rPr>
          <w:rFonts w:ascii="Times New Roman" w:hAnsi="Times New Roman"/>
          <w:sz w:val="24"/>
          <w:szCs w:val="24"/>
        </w:rPr>
        <w:t xml:space="preserve"> является самым крупным по размеру, по объему инвестиций в России. Он состоит из 145 компаний, 109 из которых — производственные. 22 предприятия выпускают лекарственные средства, остальные — медтехнику. В кластер входят и шесть сервисных компаний.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Из 34 резидентов ОЭЗ технико-внедренческого типа «Санкт-Петербург» почти треть (11 компаний) относится к </w:t>
      </w:r>
      <w:proofErr w:type="spellStart"/>
      <w:r w:rsidRPr="00DE3B24">
        <w:rPr>
          <w:rFonts w:ascii="Times New Roman" w:hAnsi="Times New Roman"/>
          <w:sz w:val="24"/>
          <w:szCs w:val="24"/>
        </w:rPr>
        <w:t>фармкластеру</w:t>
      </w:r>
      <w:proofErr w:type="spellEnd"/>
      <w:r w:rsidRPr="00DE3B24">
        <w:rPr>
          <w:rFonts w:ascii="Times New Roman" w:hAnsi="Times New Roman"/>
          <w:sz w:val="24"/>
          <w:szCs w:val="24"/>
        </w:rPr>
        <w:t>. На площадке «</w:t>
      </w:r>
      <w:proofErr w:type="spellStart"/>
      <w:r w:rsidRPr="00DE3B24">
        <w:rPr>
          <w:rFonts w:ascii="Times New Roman" w:hAnsi="Times New Roman"/>
          <w:sz w:val="24"/>
          <w:szCs w:val="24"/>
        </w:rPr>
        <w:t>Нойдорф</w:t>
      </w:r>
      <w:proofErr w:type="spellEnd"/>
      <w:r w:rsidRPr="00DE3B24">
        <w:rPr>
          <w:rFonts w:ascii="Times New Roman" w:hAnsi="Times New Roman"/>
          <w:sz w:val="24"/>
          <w:szCs w:val="24"/>
        </w:rPr>
        <w:t>» операционную деятельность ведут две компании: исследовательские лаборатории ЗАО «</w:t>
      </w:r>
      <w:proofErr w:type="spellStart"/>
      <w:r w:rsidRPr="00DE3B24">
        <w:rPr>
          <w:rFonts w:ascii="Times New Roman" w:hAnsi="Times New Roman"/>
          <w:sz w:val="24"/>
          <w:szCs w:val="24"/>
        </w:rPr>
        <w:t>Фарм</w:t>
      </w:r>
      <w:proofErr w:type="spellEnd"/>
      <w:r w:rsidRPr="00DE3B24">
        <w:rPr>
          <w:rFonts w:ascii="Times New Roman" w:hAnsi="Times New Roman"/>
          <w:sz w:val="24"/>
          <w:szCs w:val="24"/>
        </w:rPr>
        <w:t>-холдинг» (входит в группу «</w:t>
      </w:r>
      <w:proofErr w:type="spellStart"/>
      <w:r w:rsidRPr="00DE3B24">
        <w:rPr>
          <w:rFonts w:ascii="Times New Roman" w:hAnsi="Times New Roman"/>
          <w:sz w:val="24"/>
          <w:szCs w:val="24"/>
        </w:rPr>
        <w:t>Герофарм</w:t>
      </w:r>
      <w:proofErr w:type="spellEnd"/>
      <w:r w:rsidRPr="00DE3B24">
        <w:rPr>
          <w:rFonts w:ascii="Times New Roman" w:hAnsi="Times New Roman"/>
          <w:sz w:val="24"/>
          <w:szCs w:val="24"/>
        </w:rPr>
        <w:t>») и ЗАО «</w:t>
      </w:r>
      <w:proofErr w:type="spellStart"/>
      <w:r w:rsidRPr="00DE3B24">
        <w:rPr>
          <w:rFonts w:ascii="Times New Roman" w:hAnsi="Times New Roman"/>
          <w:sz w:val="24"/>
          <w:szCs w:val="24"/>
        </w:rPr>
        <w:t>Биокад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». Вторая компания также владеет заводом по производству </w:t>
      </w:r>
      <w:proofErr w:type="spellStart"/>
      <w:r w:rsidRPr="00DE3B24">
        <w:rPr>
          <w:rFonts w:ascii="Times New Roman" w:hAnsi="Times New Roman"/>
          <w:sz w:val="24"/>
          <w:szCs w:val="24"/>
        </w:rPr>
        <w:t>моноклональных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антител мощностью 160 кг продукции в год. К 2018 году «</w:t>
      </w:r>
      <w:proofErr w:type="spellStart"/>
      <w:r w:rsidRPr="00DE3B24">
        <w:rPr>
          <w:rFonts w:ascii="Times New Roman" w:hAnsi="Times New Roman"/>
          <w:sz w:val="24"/>
          <w:szCs w:val="24"/>
        </w:rPr>
        <w:t>Биокад</w:t>
      </w:r>
      <w:proofErr w:type="spellEnd"/>
      <w:r w:rsidRPr="00DE3B24">
        <w:rPr>
          <w:rFonts w:ascii="Times New Roman" w:hAnsi="Times New Roman"/>
          <w:sz w:val="24"/>
          <w:szCs w:val="24"/>
        </w:rPr>
        <w:t>» планирует удвоить мощности на площадке «</w:t>
      </w:r>
      <w:proofErr w:type="spellStart"/>
      <w:r w:rsidRPr="00DE3B24">
        <w:rPr>
          <w:rFonts w:ascii="Times New Roman" w:hAnsi="Times New Roman"/>
          <w:sz w:val="24"/>
          <w:szCs w:val="24"/>
        </w:rPr>
        <w:t>Нойдорф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». Уже заключены контракты на поставку субстанций на территорию восьми зарубежных стран. В 2013 году компания "БИОКАД" начала выпуск препаратов для лечения онкологических и аутоиммунных заболеваний, цена которых почти вдвое ниже зарубежных аналогов. 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В ближайшие два года свои производства на площадке «</w:t>
      </w:r>
      <w:proofErr w:type="spellStart"/>
      <w:r w:rsidRPr="00DE3B24">
        <w:rPr>
          <w:rFonts w:ascii="Times New Roman" w:hAnsi="Times New Roman"/>
          <w:sz w:val="24"/>
          <w:szCs w:val="24"/>
        </w:rPr>
        <w:t>Новоорловская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» запустят «Витал </w:t>
      </w:r>
      <w:proofErr w:type="spellStart"/>
      <w:r w:rsidRPr="00DE3B24">
        <w:rPr>
          <w:rFonts w:ascii="Times New Roman" w:hAnsi="Times New Roman"/>
          <w:sz w:val="24"/>
          <w:szCs w:val="24"/>
        </w:rPr>
        <w:t>Девелопмент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Корпорэйшн», «</w:t>
      </w:r>
      <w:proofErr w:type="spellStart"/>
      <w:r w:rsidRPr="00DE3B24">
        <w:rPr>
          <w:rFonts w:ascii="Times New Roman" w:hAnsi="Times New Roman"/>
          <w:sz w:val="24"/>
          <w:szCs w:val="24"/>
        </w:rPr>
        <w:t>Новартис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Нева», «Вертекс» и ЗАО «МБНПК «</w:t>
      </w:r>
      <w:proofErr w:type="spellStart"/>
      <w:r w:rsidRPr="00DE3B24">
        <w:rPr>
          <w:rFonts w:ascii="Times New Roman" w:hAnsi="Times New Roman"/>
          <w:sz w:val="24"/>
          <w:szCs w:val="24"/>
        </w:rPr>
        <w:t>Цитомед</w:t>
      </w:r>
      <w:proofErr w:type="spellEnd"/>
      <w:r w:rsidRPr="00DE3B24">
        <w:rPr>
          <w:rFonts w:ascii="Times New Roman" w:hAnsi="Times New Roman"/>
          <w:sz w:val="24"/>
          <w:szCs w:val="24"/>
        </w:rPr>
        <w:t>»». «На текущий момент большая часть резидентов находится в активной стадии строительства. Петербургские резиденты ОЭЗ из фармацевтической отрасли начнут поставлять продукцию на рынок России и Санкт-Петербурга не ранее 2016 года.   Компания «</w:t>
      </w:r>
      <w:proofErr w:type="spellStart"/>
      <w:r w:rsidRPr="00DE3B24">
        <w:rPr>
          <w:rFonts w:ascii="Times New Roman" w:hAnsi="Times New Roman"/>
          <w:sz w:val="24"/>
          <w:szCs w:val="24"/>
        </w:rPr>
        <w:t>Герофарм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» строит завод в </w:t>
      </w:r>
      <w:proofErr w:type="spellStart"/>
      <w:r w:rsidRPr="00DE3B24">
        <w:rPr>
          <w:rFonts w:ascii="Times New Roman" w:hAnsi="Times New Roman"/>
          <w:sz w:val="24"/>
          <w:szCs w:val="24"/>
        </w:rPr>
        <w:t>промзоне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«Пушкинская» стоимостью 1,5 </w:t>
      </w:r>
      <w:proofErr w:type="gramStart"/>
      <w:r w:rsidRPr="00DE3B24">
        <w:rPr>
          <w:rFonts w:ascii="Times New Roman" w:hAnsi="Times New Roman"/>
          <w:sz w:val="24"/>
          <w:szCs w:val="24"/>
        </w:rPr>
        <w:t>млрд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рублей. Предприятие будет производить активные фармацевтические субстанции (5 тонн в год), твердые лекарственные формы (500 </w:t>
      </w:r>
      <w:proofErr w:type="gramStart"/>
      <w:r w:rsidRPr="00DE3B24">
        <w:rPr>
          <w:rFonts w:ascii="Times New Roman" w:hAnsi="Times New Roman"/>
          <w:sz w:val="24"/>
          <w:szCs w:val="24"/>
        </w:rPr>
        <w:t>млн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таблеток в год) и </w:t>
      </w:r>
      <w:proofErr w:type="spellStart"/>
      <w:r w:rsidRPr="00DE3B24">
        <w:rPr>
          <w:rFonts w:ascii="Times New Roman" w:hAnsi="Times New Roman"/>
          <w:sz w:val="24"/>
          <w:szCs w:val="24"/>
        </w:rPr>
        <w:t>преднаполненные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шприцы (10 млн штук в год). «</w:t>
      </w:r>
      <w:proofErr w:type="spellStart"/>
      <w:r w:rsidRPr="00DE3B24">
        <w:rPr>
          <w:rFonts w:ascii="Times New Roman" w:hAnsi="Times New Roman"/>
          <w:sz w:val="24"/>
          <w:szCs w:val="24"/>
        </w:rPr>
        <w:t>Герофарм</w:t>
      </w:r>
      <w:proofErr w:type="spellEnd"/>
      <w:r w:rsidRPr="00DE3B24">
        <w:rPr>
          <w:rFonts w:ascii="Times New Roman" w:hAnsi="Times New Roman"/>
          <w:sz w:val="24"/>
          <w:szCs w:val="24"/>
        </w:rPr>
        <w:t>» — единственная компания в России, которая производит генно-инженерный инсулин по полному циклу: от субстанции до готовой формы, и сейчас город серьезно рассматривает закупку инсулинов именно нашего производства».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b/>
          <w:sz w:val="24"/>
          <w:szCs w:val="24"/>
        </w:rPr>
        <w:t>Уральский фармкластер</w:t>
      </w:r>
      <w:r w:rsidRPr="00DE3B24">
        <w:rPr>
          <w:rFonts w:ascii="Times New Roman" w:hAnsi="Times New Roman"/>
          <w:sz w:val="24"/>
          <w:szCs w:val="24"/>
        </w:rPr>
        <w:t xml:space="preserve"> был создан в </w:t>
      </w:r>
      <w:proofErr w:type="gramStart"/>
      <w:r w:rsidRPr="00DE3B24">
        <w:rPr>
          <w:rFonts w:ascii="Times New Roman" w:hAnsi="Times New Roman"/>
          <w:sz w:val="24"/>
          <w:szCs w:val="24"/>
        </w:rPr>
        <w:t>декабре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2010 г. В него более 30 предприятий Уральского федерального округа, из которых 20 находятся в Свердловской области.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Одной из иностранных компаний, проявивших интерес к этому проекту, стала </w:t>
      </w:r>
      <w:proofErr w:type="spellStart"/>
      <w:r w:rsidRPr="00DE3B24">
        <w:rPr>
          <w:rFonts w:ascii="Times New Roman" w:hAnsi="Times New Roman"/>
          <w:sz w:val="24"/>
          <w:szCs w:val="24"/>
        </w:rPr>
        <w:t>Bayer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AG. На сегодняшний день концерн заинтересован в создании совместной научно-исследовательской базы. Одним из ключевых проектов Уральского </w:t>
      </w:r>
      <w:proofErr w:type="spellStart"/>
      <w:r w:rsidRPr="00DE3B24">
        <w:rPr>
          <w:rFonts w:ascii="Times New Roman" w:hAnsi="Times New Roman"/>
          <w:sz w:val="24"/>
          <w:szCs w:val="24"/>
        </w:rPr>
        <w:t>фармкластера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считается производство инсулина. В 2008 г. на заводе "</w:t>
      </w:r>
      <w:proofErr w:type="spellStart"/>
      <w:r w:rsidRPr="00DE3B24">
        <w:rPr>
          <w:rFonts w:ascii="Times New Roman" w:hAnsi="Times New Roman"/>
          <w:sz w:val="24"/>
          <w:szCs w:val="24"/>
        </w:rPr>
        <w:t>Медсинтез</w:t>
      </w:r>
      <w:proofErr w:type="spellEnd"/>
      <w:r w:rsidRPr="00DE3B24">
        <w:rPr>
          <w:rFonts w:ascii="Times New Roman" w:hAnsi="Times New Roman"/>
          <w:sz w:val="24"/>
          <w:szCs w:val="24"/>
        </w:rPr>
        <w:t>" открылось первое в России производство генно-инженерного инсулина человека (ТМ "</w:t>
      </w:r>
      <w:proofErr w:type="spellStart"/>
      <w:r w:rsidRPr="00DE3B24">
        <w:rPr>
          <w:rFonts w:ascii="Times New Roman" w:hAnsi="Times New Roman"/>
          <w:sz w:val="24"/>
          <w:szCs w:val="24"/>
        </w:rPr>
        <w:t>Росинсулин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") в промышленных масштабах. </w:t>
      </w:r>
    </w:p>
    <w:p w:rsidR="00DE3B24" w:rsidRPr="00DE3B24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 xml:space="preserve">Уральский фармкластер обладает сильной образовательной базой: 150 тыс. студентов проходят обучение в 49-ти ВУЗах </w:t>
      </w:r>
      <w:proofErr w:type="spellStart"/>
      <w:r w:rsidRPr="00DE3B24">
        <w:rPr>
          <w:rFonts w:ascii="Times New Roman" w:hAnsi="Times New Roman"/>
          <w:sz w:val="24"/>
          <w:szCs w:val="24"/>
        </w:rPr>
        <w:t>Свердловскои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̆ области, 3.600 научных сотрудников трудится в 55-ти НИИ, среди которых основная часть институтов входит в </w:t>
      </w:r>
      <w:proofErr w:type="spellStart"/>
      <w:r w:rsidRPr="00DE3B24">
        <w:rPr>
          <w:rFonts w:ascii="Times New Roman" w:hAnsi="Times New Roman"/>
          <w:sz w:val="24"/>
          <w:szCs w:val="24"/>
        </w:rPr>
        <w:t>УрО</w:t>
      </w:r>
      <w:proofErr w:type="spellEnd"/>
      <w:r w:rsidRPr="00DE3B24">
        <w:rPr>
          <w:rFonts w:ascii="Times New Roman" w:hAnsi="Times New Roman"/>
          <w:sz w:val="24"/>
          <w:szCs w:val="24"/>
        </w:rPr>
        <w:t xml:space="preserve"> РАН. В целом, область </w:t>
      </w:r>
      <w:proofErr w:type="gramStart"/>
      <w:r w:rsidRPr="00DE3B24">
        <w:rPr>
          <w:rFonts w:ascii="Times New Roman" w:hAnsi="Times New Roman"/>
          <w:sz w:val="24"/>
          <w:szCs w:val="24"/>
        </w:rPr>
        <w:t>имеет высокий образовательный рейтинг и располагает</w:t>
      </w:r>
      <w:proofErr w:type="gramEnd"/>
      <w:r w:rsidRPr="00DE3B24">
        <w:rPr>
          <w:rFonts w:ascii="Times New Roman" w:hAnsi="Times New Roman"/>
          <w:sz w:val="24"/>
          <w:szCs w:val="24"/>
        </w:rPr>
        <w:t xml:space="preserve"> </w:t>
      </w:r>
      <w:r w:rsidRPr="00DE3B24">
        <w:rPr>
          <w:rFonts w:ascii="Times New Roman" w:hAnsi="Times New Roman"/>
          <w:sz w:val="24"/>
          <w:szCs w:val="24"/>
        </w:rPr>
        <w:lastRenderedPageBreak/>
        <w:t>мощным интеллектуальным и научно-инновационным потенциалом. Этому очень способствует старейшая Уральская научно-исследовательская школа.</w:t>
      </w:r>
    </w:p>
    <w:p w:rsidR="00DE3B24" w:rsidRPr="00A50E2D" w:rsidRDefault="00DE3B24" w:rsidP="00DE3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B24">
        <w:rPr>
          <w:rFonts w:ascii="Times New Roman" w:hAnsi="Times New Roman"/>
          <w:sz w:val="24"/>
          <w:szCs w:val="24"/>
        </w:rPr>
        <w:t>Свердловская область занимает выгодное географическое положение, находясь на стыке Европы и Азии. При этом она является центром Уральского Федерального округа — агломерации с общей̆ численностью населения 12,5 млн. чел.</w:t>
      </w:r>
    </w:p>
    <w:p w:rsidR="00970838" w:rsidRDefault="00970838"/>
    <w:sectPr w:rsidR="00970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51230"/>
    <w:multiLevelType w:val="hybridMultilevel"/>
    <w:tmpl w:val="D84C9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6171019"/>
    <w:multiLevelType w:val="hybridMultilevel"/>
    <w:tmpl w:val="610CA3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B24"/>
    <w:rsid w:val="00020D21"/>
    <w:rsid w:val="00021329"/>
    <w:rsid w:val="000230B8"/>
    <w:rsid w:val="000230E8"/>
    <w:rsid w:val="0002343A"/>
    <w:rsid w:val="000252A7"/>
    <w:rsid w:val="0003151F"/>
    <w:rsid w:val="00033E93"/>
    <w:rsid w:val="00037B77"/>
    <w:rsid w:val="00041744"/>
    <w:rsid w:val="000429AD"/>
    <w:rsid w:val="0004352F"/>
    <w:rsid w:val="00044FD9"/>
    <w:rsid w:val="00046B86"/>
    <w:rsid w:val="000538B6"/>
    <w:rsid w:val="000567EA"/>
    <w:rsid w:val="0005756A"/>
    <w:rsid w:val="00072574"/>
    <w:rsid w:val="000741E0"/>
    <w:rsid w:val="00074CDF"/>
    <w:rsid w:val="000758EA"/>
    <w:rsid w:val="000774C5"/>
    <w:rsid w:val="00082EB3"/>
    <w:rsid w:val="000914C8"/>
    <w:rsid w:val="000940E1"/>
    <w:rsid w:val="000A18ED"/>
    <w:rsid w:val="000A2B7F"/>
    <w:rsid w:val="000A6882"/>
    <w:rsid w:val="000C62E9"/>
    <w:rsid w:val="000D2010"/>
    <w:rsid w:val="000D599C"/>
    <w:rsid w:val="000F32DE"/>
    <w:rsid w:val="000F5A2B"/>
    <w:rsid w:val="001027C2"/>
    <w:rsid w:val="00103C6D"/>
    <w:rsid w:val="001109C4"/>
    <w:rsid w:val="001117F8"/>
    <w:rsid w:val="00117842"/>
    <w:rsid w:val="001252A3"/>
    <w:rsid w:val="00130C5C"/>
    <w:rsid w:val="00157812"/>
    <w:rsid w:val="001625FD"/>
    <w:rsid w:val="0016379B"/>
    <w:rsid w:val="00167DEB"/>
    <w:rsid w:val="00173B0D"/>
    <w:rsid w:val="00182D2B"/>
    <w:rsid w:val="00187182"/>
    <w:rsid w:val="001A5A02"/>
    <w:rsid w:val="001A5DAC"/>
    <w:rsid w:val="001A7369"/>
    <w:rsid w:val="001C2B0B"/>
    <w:rsid w:val="001C39AC"/>
    <w:rsid w:val="001E62FF"/>
    <w:rsid w:val="001F1DF9"/>
    <w:rsid w:val="001F4586"/>
    <w:rsid w:val="001F4645"/>
    <w:rsid w:val="001F5914"/>
    <w:rsid w:val="00201845"/>
    <w:rsid w:val="00205FC6"/>
    <w:rsid w:val="00212A2F"/>
    <w:rsid w:val="00214594"/>
    <w:rsid w:val="00216613"/>
    <w:rsid w:val="00216BD2"/>
    <w:rsid w:val="00224906"/>
    <w:rsid w:val="002355CD"/>
    <w:rsid w:val="00240045"/>
    <w:rsid w:val="00242BF2"/>
    <w:rsid w:val="00243A92"/>
    <w:rsid w:val="002443AE"/>
    <w:rsid w:val="00245FFB"/>
    <w:rsid w:val="00253533"/>
    <w:rsid w:val="00255303"/>
    <w:rsid w:val="00261837"/>
    <w:rsid w:val="00262444"/>
    <w:rsid w:val="00275624"/>
    <w:rsid w:val="00275D42"/>
    <w:rsid w:val="00283E62"/>
    <w:rsid w:val="00284A30"/>
    <w:rsid w:val="0028748F"/>
    <w:rsid w:val="0028780F"/>
    <w:rsid w:val="00287F89"/>
    <w:rsid w:val="002A0E9D"/>
    <w:rsid w:val="002A3075"/>
    <w:rsid w:val="002A6893"/>
    <w:rsid w:val="002A6F2D"/>
    <w:rsid w:val="002B6FCB"/>
    <w:rsid w:val="002B774B"/>
    <w:rsid w:val="002C085C"/>
    <w:rsid w:val="002C14AD"/>
    <w:rsid w:val="002C1E08"/>
    <w:rsid w:val="002C611B"/>
    <w:rsid w:val="002D4565"/>
    <w:rsid w:val="002E38AD"/>
    <w:rsid w:val="002E475D"/>
    <w:rsid w:val="002E5E75"/>
    <w:rsid w:val="002E780A"/>
    <w:rsid w:val="002F7EFA"/>
    <w:rsid w:val="00300460"/>
    <w:rsid w:val="003038DC"/>
    <w:rsid w:val="00303F81"/>
    <w:rsid w:val="00305E81"/>
    <w:rsid w:val="00306791"/>
    <w:rsid w:val="003107EB"/>
    <w:rsid w:val="003146E7"/>
    <w:rsid w:val="003153C8"/>
    <w:rsid w:val="00317CD0"/>
    <w:rsid w:val="0032545E"/>
    <w:rsid w:val="00326AE9"/>
    <w:rsid w:val="00327DCF"/>
    <w:rsid w:val="00331355"/>
    <w:rsid w:val="003420DC"/>
    <w:rsid w:val="0035299C"/>
    <w:rsid w:val="00353E70"/>
    <w:rsid w:val="00360DCE"/>
    <w:rsid w:val="0036286D"/>
    <w:rsid w:val="00362EC4"/>
    <w:rsid w:val="003671FF"/>
    <w:rsid w:val="003723B3"/>
    <w:rsid w:val="003734C0"/>
    <w:rsid w:val="00386E0A"/>
    <w:rsid w:val="0038712C"/>
    <w:rsid w:val="003913B9"/>
    <w:rsid w:val="00395285"/>
    <w:rsid w:val="00397588"/>
    <w:rsid w:val="003A0BF5"/>
    <w:rsid w:val="003A1777"/>
    <w:rsid w:val="003A577A"/>
    <w:rsid w:val="003A59D1"/>
    <w:rsid w:val="003A5A96"/>
    <w:rsid w:val="003B2394"/>
    <w:rsid w:val="003B5DC2"/>
    <w:rsid w:val="003D1A95"/>
    <w:rsid w:val="003D209C"/>
    <w:rsid w:val="003D2B84"/>
    <w:rsid w:val="003D779D"/>
    <w:rsid w:val="003E4E7A"/>
    <w:rsid w:val="003E65EA"/>
    <w:rsid w:val="003E6D07"/>
    <w:rsid w:val="003E7918"/>
    <w:rsid w:val="003E7A5C"/>
    <w:rsid w:val="003F31A2"/>
    <w:rsid w:val="00402EBF"/>
    <w:rsid w:val="00403D6D"/>
    <w:rsid w:val="00413E13"/>
    <w:rsid w:val="00413F11"/>
    <w:rsid w:val="00416070"/>
    <w:rsid w:val="00422D41"/>
    <w:rsid w:val="00424211"/>
    <w:rsid w:val="00425A8E"/>
    <w:rsid w:val="004268AB"/>
    <w:rsid w:val="00436D2A"/>
    <w:rsid w:val="00437478"/>
    <w:rsid w:val="00443628"/>
    <w:rsid w:val="004436CE"/>
    <w:rsid w:val="00444DDC"/>
    <w:rsid w:val="00446B24"/>
    <w:rsid w:val="00446C80"/>
    <w:rsid w:val="004472E4"/>
    <w:rsid w:val="004550F0"/>
    <w:rsid w:val="004577E0"/>
    <w:rsid w:val="00462BF6"/>
    <w:rsid w:val="0046597B"/>
    <w:rsid w:val="00466073"/>
    <w:rsid w:val="0047190A"/>
    <w:rsid w:val="0047253D"/>
    <w:rsid w:val="004728DC"/>
    <w:rsid w:val="00481A91"/>
    <w:rsid w:val="00485DEE"/>
    <w:rsid w:val="00490830"/>
    <w:rsid w:val="00494E8A"/>
    <w:rsid w:val="004A3498"/>
    <w:rsid w:val="004A3BC4"/>
    <w:rsid w:val="004A3C4F"/>
    <w:rsid w:val="004A511A"/>
    <w:rsid w:val="004B4D9D"/>
    <w:rsid w:val="004C240E"/>
    <w:rsid w:val="004C5852"/>
    <w:rsid w:val="004C7E3B"/>
    <w:rsid w:val="004D5B36"/>
    <w:rsid w:val="004D5DEE"/>
    <w:rsid w:val="004E000D"/>
    <w:rsid w:val="004E46B5"/>
    <w:rsid w:val="004F3804"/>
    <w:rsid w:val="004F476C"/>
    <w:rsid w:val="004F7CA4"/>
    <w:rsid w:val="005021EA"/>
    <w:rsid w:val="005052C1"/>
    <w:rsid w:val="005071F1"/>
    <w:rsid w:val="00507DDD"/>
    <w:rsid w:val="0051247C"/>
    <w:rsid w:val="0051629B"/>
    <w:rsid w:val="00520F3C"/>
    <w:rsid w:val="005318C0"/>
    <w:rsid w:val="0053283E"/>
    <w:rsid w:val="005420FF"/>
    <w:rsid w:val="00543D55"/>
    <w:rsid w:val="005474D5"/>
    <w:rsid w:val="00553467"/>
    <w:rsid w:val="00553944"/>
    <w:rsid w:val="00557240"/>
    <w:rsid w:val="00563983"/>
    <w:rsid w:val="00565B1A"/>
    <w:rsid w:val="00567CD6"/>
    <w:rsid w:val="005723CE"/>
    <w:rsid w:val="00577703"/>
    <w:rsid w:val="00577EBD"/>
    <w:rsid w:val="005828FE"/>
    <w:rsid w:val="00586365"/>
    <w:rsid w:val="0059255E"/>
    <w:rsid w:val="00595675"/>
    <w:rsid w:val="00597BF0"/>
    <w:rsid w:val="005A0E5C"/>
    <w:rsid w:val="005A5F16"/>
    <w:rsid w:val="005A6554"/>
    <w:rsid w:val="005B1D5B"/>
    <w:rsid w:val="005B2BD6"/>
    <w:rsid w:val="005B3E6D"/>
    <w:rsid w:val="005B5457"/>
    <w:rsid w:val="005B5471"/>
    <w:rsid w:val="005B5C6A"/>
    <w:rsid w:val="005B78A5"/>
    <w:rsid w:val="005C2159"/>
    <w:rsid w:val="005C35BA"/>
    <w:rsid w:val="005C5F41"/>
    <w:rsid w:val="005D1487"/>
    <w:rsid w:val="005D2178"/>
    <w:rsid w:val="005F03BE"/>
    <w:rsid w:val="005F36AE"/>
    <w:rsid w:val="005F7855"/>
    <w:rsid w:val="006056CA"/>
    <w:rsid w:val="006078DB"/>
    <w:rsid w:val="00611EA4"/>
    <w:rsid w:val="00612E37"/>
    <w:rsid w:val="00615702"/>
    <w:rsid w:val="006209D6"/>
    <w:rsid w:val="00621D64"/>
    <w:rsid w:val="00622802"/>
    <w:rsid w:val="00622CA9"/>
    <w:rsid w:val="00627F13"/>
    <w:rsid w:val="006334F9"/>
    <w:rsid w:val="00633C2D"/>
    <w:rsid w:val="00633FFC"/>
    <w:rsid w:val="00643072"/>
    <w:rsid w:val="006441B5"/>
    <w:rsid w:val="006458EB"/>
    <w:rsid w:val="006467B7"/>
    <w:rsid w:val="006472A9"/>
    <w:rsid w:val="00650C02"/>
    <w:rsid w:val="00652B97"/>
    <w:rsid w:val="0065655D"/>
    <w:rsid w:val="00656DA8"/>
    <w:rsid w:val="00661D5A"/>
    <w:rsid w:val="00673FEB"/>
    <w:rsid w:val="0067551A"/>
    <w:rsid w:val="00681760"/>
    <w:rsid w:val="006826E9"/>
    <w:rsid w:val="0069085D"/>
    <w:rsid w:val="006911AD"/>
    <w:rsid w:val="006947F1"/>
    <w:rsid w:val="00696DF0"/>
    <w:rsid w:val="006A6303"/>
    <w:rsid w:val="006A6310"/>
    <w:rsid w:val="006B017D"/>
    <w:rsid w:val="006B1CD0"/>
    <w:rsid w:val="006B5C01"/>
    <w:rsid w:val="006C1544"/>
    <w:rsid w:val="006C16ED"/>
    <w:rsid w:val="006C51F6"/>
    <w:rsid w:val="006C6ABD"/>
    <w:rsid w:val="006D282A"/>
    <w:rsid w:val="006D3450"/>
    <w:rsid w:val="006F077D"/>
    <w:rsid w:val="006F2696"/>
    <w:rsid w:val="006F338B"/>
    <w:rsid w:val="006F5252"/>
    <w:rsid w:val="006F67C8"/>
    <w:rsid w:val="00706B93"/>
    <w:rsid w:val="0071252F"/>
    <w:rsid w:val="007157B7"/>
    <w:rsid w:val="00717BF6"/>
    <w:rsid w:val="00723CAE"/>
    <w:rsid w:val="00731706"/>
    <w:rsid w:val="00731D23"/>
    <w:rsid w:val="00732242"/>
    <w:rsid w:val="007352D7"/>
    <w:rsid w:val="0074255F"/>
    <w:rsid w:val="00744886"/>
    <w:rsid w:val="007505F5"/>
    <w:rsid w:val="0075410A"/>
    <w:rsid w:val="0076136C"/>
    <w:rsid w:val="007642AC"/>
    <w:rsid w:val="00776EEE"/>
    <w:rsid w:val="00776F75"/>
    <w:rsid w:val="007779CF"/>
    <w:rsid w:val="0079159C"/>
    <w:rsid w:val="007916A7"/>
    <w:rsid w:val="00791F5A"/>
    <w:rsid w:val="00795CF3"/>
    <w:rsid w:val="00797E5D"/>
    <w:rsid w:val="007A21D9"/>
    <w:rsid w:val="007A54FC"/>
    <w:rsid w:val="007A5FB6"/>
    <w:rsid w:val="007C30D1"/>
    <w:rsid w:val="007C42AB"/>
    <w:rsid w:val="007C6EFF"/>
    <w:rsid w:val="007E0039"/>
    <w:rsid w:val="007E0423"/>
    <w:rsid w:val="007E1774"/>
    <w:rsid w:val="007F0A62"/>
    <w:rsid w:val="007F0B97"/>
    <w:rsid w:val="007F226F"/>
    <w:rsid w:val="00807638"/>
    <w:rsid w:val="00825D4C"/>
    <w:rsid w:val="00833781"/>
    <w:rsid w:val="00833EB6"/>
    <w:rsid w:val="00834681"/>
    <w:rsid w:val="00842865"/>
    <w:rsid w:val="008454CF"/>
    <w:rsid w:val="008465C9"/>
    <w:rsid w:val="00851F34"/>
    <w:rsid w:val="00854701"/>
    <w:rsid w:val="00860237"/>
    <w:rsid w:val="00860F36"/>
    <w:rsid w:val="00861F6D"/>
    <w:rsid w:val="008640F1"/>
    <w:rsid w:val="008747C4"/>
    <w:rsid w:val="00874E78"/>
    <w:rsid w:val="008757CF"/>
    <w:rsid w:val="0087626A"/>
    <w:rsid w:val="00882273"/>
    <w:rsid w:val="0088293D"/>
    <w:rsid w:val="00884174"/>
    <w:rsid w:val="0088516E"/>
    <w:rsid w:val="0088770C"/>
    <w:rsid w:val="008A1FDC"/>
    <w:rsid w:val="008A3B3E"/>
    <w:rsid w:val="008A7E43"/>
    <w:rsid w:val="008B0B71"/>
    <w:rsid w:val="008B77ED"/>
    <w:rsid w:val="008C624C"/>
    <w:rsid w:val="008C74F1"/>
    <w:rsid w:val="008D5237"/>
    <w:rsid w:val="008D5C4E"/>
    <w:rsid w:val="008E1F4C"/>
    <w:rsid w:val="008E2D50"/>
    <w:rsid w:val="008E3C7D"/>
    <w:rsid w:val="00902BAD"/>
    <w:rsid w:val="00903360"/>
    <w:rsid w:val="00911D23"/>
    <w:rsid w:val="00914C11"/>
    <w:rsid w:val="0092039D"/>
    <w:rsid w:val="00920D3B"/>
    <w:rsid w:val="00930C0E"/>
    <w:rsid w:val="00932549"/>
    <w:rsid w:val="00934474"/>
    <w:rsid w:val="009420D2"/>
    <w:rsid w:val="0094371D"/>
    <w:rsid w:val="00945CA5"/>
    <w:rsid w:val="00946933"/>
    <w:rsid w:val="00961786"/>
    <w:rsid w:val="00970838"/>
    <w:rsid w:val="009709AD"/>
    <w:rsid w:val="00976E5C"/>
    <w:rsid w:val="00983699"/>
    <w:rsid w:val="00995C9E"/>
    <w:rsid w:val="009972A3"/>
    <w:rsid w:val="00997FD8"/>
    <w:rsid w:val="009A10C0"/>
    <w:rsid w:val="009A54EC"/>
    <w:rsid w:val="009A7F1A"/>
    <w:rsid w:val="009C0BE3"/>
    <w:rsid w:val="009C2982"/>
    <w:rsid w:val="009C7F60"/>
    <w:rsid w:val="009D101B"/>
    <w:rsid w:val="009D1AE2"/>
    <w:rsid w:val="009D4329"/>
    <w:rsid w:val="009D570C"/>
    <w:rsid w:val="009D689E"/>
    <w:rsid w:val="009D7B1C"/>
    <w:rsid w:val="009E1F51"/>
    <w:rsid w:val="009E2487"/>
    <w:rsid w:val="009E51FF"/>
    <w:rsid w:val="009E5350"/>
    <w:rsid w:val="009E600B"/>
    <w:rsid w:val="009F0A1D"/>
    <w:rsid w:val="009F1D63"/>
    <w:rsid w:val="009F25DE"/>
    <w:rsid w:val="009F2C59"/>
    <w:rsid w:val="009F639C"/>
    <w:rsid w:val="009F6AB0"/>
    <w:rsid w:val="009F7F4E"/>
    <w:rsid w:val="00A07A10"/>
    <w:rsid w:val="00A10EEA"/>
    <w:rsid w:val="00A13F20"/>
    <w:rsid w:val="00A178BF"/>
    <w:rsid w:val="00A250B5"/>
    <w:rsid w:val="00A26044"/>
    <w:rsid w:val="00A30C24"/>
    <w:rsid w:val="00A3100A"/>
    <w:rsid w:val="00A31FC7"/>
    <w:rsid w:val="00A33B79"/>
    <w:rsid w:val="00A40238"/>
    <w:rsid w:val="00A42E8A"/>
    <w:rsid w:val="00A4734F"/>
    <w:rsid w:val="00A47BDC"/>
    <w:rsid w:val="00A52ADF"/>
    <w:rsid w:val="00A54E2E"/>
    <w:rsid w:val="00A5558F"/>
    <w:rsid w:val="00A61E85"/>
    <w:rsid w:val="00A662FA"/>
    <w:rsid w:val="00A66C82"/>
    <w:rsid w:val="00A6745C"/>
    <w:rsid w:val="00A81544"/>
    <w:rsid w:val="00A838B5"/>
    <w:rsid w:val="00A876E0"/>
    <w:rsid w:val="00A929CC"/>
    <w:rsid w:val="00AA0DA4"/>
    <w:rsid w:val="00AA2294"/>
    <w:rsid w:val="00AB304E"/>
    <w:rsid w:val="00AB3E0B"/>
    <w:rsid w:val="00AB4E4D"/>
    <w:rsid w:val="00AB7DDB"/>
    <w:rsid w:val="00AC4F40"/>
    <w:rsid w:val="00AC721E"/>
    <w:rsid w:val="00AE1A50"/>
    <w:rsid w:val="00AE25E0"/>
    <w:rsid w:val="00AE333E"/>
    <w:rsid w:val="00AE5984"/>
    <w:rsid w:val="00AE6F58"/>
    <w:rsid w:val="00AF1ED9"/>
    <w:rsid w:val="00AF20F9"/>
    <w:rsid w:val="00AF3CBA"/>
    <w:rsid w:val="00AF6422"/>
    <w:rsid w:val="00AF7602"/>
    <w:rsid w:val="00AF7B7D"/>
    <w:rsid w:val="00B0284B"/>
    <w:rsid w:val="00B02BFD"/>
    <w:rsid w:val="00B03410"/>
    <w:rsid w:val="00B057CE"/>
    <w:rsid w:val="00B113D3"/>
    <w:rsid w:val="00B124EA"/>
    <w:rsid w:val="00B164A4"/>
    <w:rsid w:val="00B244F1"/>
    <w:rsid w:val="00B30C0C"/>
    <w:rsid w:val="00B3132C"/>
    <w:rsid w:val="00B34423"/>
    <w:rsid w:val="00B34B39"/>
    <w:rsid w:val="00B3531D"/>
    <w:rsid w:val="00B375F3"/>
    <w:rsid w:val="00B420F8"/>
    <w:rsid w:val="00B42123"/>
    <w:rsid w:val="00B44087"/>
    <w:rsid w:val="00B5252A"/>
    <w:rsid w:val="00B630E6"/>
    <w:rsid w:val="00B645D0"/>
    <w:rsid w:val="00B722CF"/>
    <w:rsid w:val="00B7278E"/>
    <w:rsid w:val="00B74D1B"/>
    <w:rsid w:val="00B761B7"/>
    <w:rsid w:val="00B774D5"/>
    <w:rsid w:val="00B8015D"/>
    <w:rsid w:val="00B87BF2"/>
    <w:rsid w:val="00B926EF"/>
    <w:rsid w:val="00BA297D"/>
    <w:rsid w:val="00BA5441"/>
    <w:rsid w:val="00BA550A"/>
    <w:rsid w:val="00BA712A"/>
    <w:rsid w:val="00BB5227"/>
    <w:rsid w:val="00BC1653"/>
    <w:rsid w:val="00BC6199"/>
    <w:rsid w:val="00BD2626"/>
    <w:rsid w:val="00BD2A64"/>
    <w:rsid w:val="00BD4237"/>
    <w:rsid w:val="00BE1AF0"/>
    <w:rsid w:val="00BE4C6D"/>
    <w:rsid w:val="00BE6EB5"/>
    <w:rsid w:val="00BF541A"/>
    <w:rsid w:val="00C02262"/>
    <w:rsid w:val="00C063EC"/>
    <w:rsid w:val="00C12190"/>
    <w:rsid w:val="00C128DF"/>
    <w:rsid w:val="00C2303D"/>
    <w:rsid w:val="00C24FBF"/>
    <w:rsid w:val="00C27EAF"/>
    <w:rsid w:val="00C3024F"/>
    <w:rsid w:val="00C379E3"/>
    <w:rsid w:val="00C37B20"/>
    <w:rsid w:val="00C436B8"/>
    <w:rsid w:val="00C5640E"/>
    <w:rsid w:val="00C56AE1"/>
    <w:rsid w:val="00C6487C"/>
    <w:rsid w:val="00C74EE4"/>
    <w:rsid w:val="00C82098"/>
    <w:rsid w:val="00C83EF1"/>
    <w:rsid w:val="00C84455"/>
    <w:rsid w:val="00C87413"/>
    <w:rsid w:val="00C92E83"/>
    <w:rsid w:val="00C93C1D"/>
    <w:rsid w:val="00C9698B"/>
    <w:rsid w:val="00CA0972"/>
    <w:rsid w:val="00CA5262"/>
    <w:rsid w:val="00CA717B"/>
    <w:rsid w:val="00CA76EF"/>
    <w:rsid w:val="00CB0710"/>
    <w:rsid w:val="00CC78C0"/>
    <w:rsid w:val="00CC7E3B"/>
    <w:rsid w:val="00CE7505"/>
    <w:rsid w:val="00CF4456"/>
    <w:rsid w:val="00CF4E0D"/>
    <w:rsid w:val="00CF6946"/>
    <w:rsid w:val="00CF6F45"/>
    <w:rsid w:val="00D12D96"/>
    <w:rsid w:val="00D14192"/>
    <w:rsid w:val="00D2228B"/>
    <w:rsid w:val="00D247FC"/>
    <w:rsid w:val="00D25FF0"/>
    <w:rsid w:val="00D27907"/>
    <w:rsid w:val="00D4665E"/>
    <w:rsid w:val="00D46663"/>
    <w:rsid w:val="00D53A92"/>
    <w:rsid w:val="00D56E92"/>
    <w:rsid w:val="00D607F4"/>
    <w:rsid w:val="00D724AA"/>
    <w:rsid w:val="00D7483E"/>
    <w:rsid w:val="00D8255E"/>
    <w:rsid w:val="00D929B3"/>
    <w:rsid w:val="00D930C6"/>
    <w:rsid w:val="00D9781B"/>
    <w:rsid w:val="00DA0AD2"/>
    <w:rsid w:val="00DB2FC2"/>
    <w:rsid w:val="00DB3464"/>
    <w:rsid w:val="00DC12A2"/>
    <w:rsid w:val="00DC267C"/>
    <w:rsid w:val="00DC5898"/>
    <w:rsid w:val="00DD72C4"/>
    <w:rsid w:val="00DE3B24"/>
    <w:rsid w:val="00DE3C1E"/>
    <w:rsid w:val="00DE5E32"/>
    <w:rsid w:val="00DF25F8"/>
    <w:rsid w:val="00E022B7"/>
    <w:rsid w:val="00E1251B"/>
    <w:rsid w:val="00E156AE"/>
    <w:rsid w:val="00E1645C"/>
    <w:rsid w:val="00E264B5"/>
    <w:rsid w:val="00E274F1"/>
    <w:rsid w:val="00E27E16"/>
    <w:rsid w:val="00E300B7"/>
    <w:rsid w:val="00E400BF"/>
    <w:rsid w:val="00E402C5"/>
    <w:rsid w:val="00E47942"/>
    <w:rsid w:val="00E513A8"/>
    <w:rsid w:val="00E53665"/>
    <w:rsid w:val="00E53D3D"/>
    <w:rsid w:val="00E61E7B"/>
    <w:rsid w:val="00E7172D"/>
    <w:rsid w:val="00E73167"/>
    <w:rsid w:val="00E73ECD"/>
    <w:rsid w:val="00E748EA"/>
    <w:rsid w:val="00E80096"/>
    <w:rsid w:val="00E864F2"/>
    <w:rsid w:val="00E975E3"/>
    <w:rsid w:val="00EA25AC"/>
    <w:rsid w:val="00EA53D7"/>
    <w:rsid w:val="00EB25C8"/>
    <w:rsid w:val="00EB2F11"/>
    <w:rsid w:val="00EB7F36"/>
    <w:rsid w:val="00EC55AF"/>
    <w:rsid w:val="00EC6235"/>
    <w:rsid w:val="00EC7EE2"/>
    <w:rsid w:val="00ED2CA5"/>
    <w:rsid w:val="00ED3073"/>
    <w:rsid w:val="00ED77C4"/>
    <w:rsid w:val="00EF0819"/>
    <w:rsid w:val="00EF67BC"/>
    <w:rsid w:val="00F04D80"/>
    <w:rsid w:val="00F101E4"/>
    <w:rsid w:val="00F10EB1"/>
    <w:rsid w:val="00F2216B"/>
    <w:rsid w:val="00F23051"/>
    <w:rsid w:val="00F25DBD"/>
    <w:rsid w:val="00F275D0"/>
    <w:rsid w:val="00F3143D"/>
    <w:rsid w:val="00F31A97"/>
    <w:rsid w:val="00F35834"/>
    <w:rsid w:val="00F45F06"/>
    <w:rsid w:val="00F51CA3"/>
    <w:rsid w:val="00F5322B"/>
    <w:rsid w:val="00F550E2"/>
    <w:rsid w:val="00F570B8"/>
    <w:rsid w:val="00F7163C"/>
    <w:rsid w:val="00F73BE3"/>
    <w:rsid w:val="00F75441"/>
    <w:rsid w:val="00F7724E"/>
    <w:rsid w:val="00F77CBE"/>
    <w:rsid w:val="00F83588"/>
    <w:rsid w:val="00F84A58"/>
    <w:rsid w:val="00F85782"/>
    <w:rsid w:val="00F9057C"/>
    <w:rsid w:val="00F90977"/>
    <w:rsid w:val="00F92624"/>
    <w:rsid w:val="00F96EEC"/>
    <w:rsid w:val="00F971B1"/>
    <w:rsid w:val="00FA2A0F"/>
    <w:rsid w:val="00FA32A6"/>
    <w:rsid w:val="00FA37F6"/>
    <w:rsid w:val="00FC4044"/>
    <w:rsid w:val="00FD3274"/>
    <w:rsid w:val="00FD5B66"/>
    <w:rsid w:val="00FD7853"/>
    <w:rsid w:val="00FE3305"/>
    <w:rsid w:val="00FF16AA"/>
    <w:rsid w:val="00FF51E7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24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250B5"/>
    <w:rPr>
      <w:b/>
      <w:bCs/>
    </w:rPr>
  </w:style>
  <w:style w:type="paragraph" w:styleId="a4">
    <w:name w:val="No Spacing"/>
    <w:uiPriority w:val="1"/>
    <w:qFormat/>
    <w:rsid w:val="00A250B5"/>
    <w:rPr>
      <w:caps/>
      <w:sz w:val="24"/>
      <w:szCs w:val="24"/>
    </w:rPr>
  </w:style>
  <w:style w:type="paragraph" w:styleId="a5">
    <w:name w:val="List Paragraph"/>
    <w:aliases w:val="Абзац списка основной,ПАРАГРАФ,Абзац списка2"/>
    <w:basedOn w:val="a"/>
    <w:link w:val="a6"/>
    <w:uiPriority w:val="34"/>
    <w:qFormat/>
    <w:rsid w:val="00DE3B24"/>
    <w:pPr>
      <w:ind w:left="720"/>
      <w:contextualSpacing/>
    </w:pPr>
    <w:rPr>
      <w:lang w:eastAsia="en-US"/>
    </w:rPr>
  </w:style>
  <w:style w:type="table" w:styleId="a7">
    <w:name w:val="Table Grid"/>
    <w:basedOn w:val="a1"/>
    <w:uiPriority w:val="99"/>
    <w:rsid w:val="00DE3B2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Абзац списка основной Знак,ПАРАГРАФ Знак,Абзац списка2 Знак"/>
    <w:basedOn w:val="a0"/>
    <w:link w:val="a5"/>
    <w:uiPriority w:val="34"/>
    <w:locked/>
    <w:rsid w:val="00DE3B24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24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250B5"/>
    <w:rPr>
      <w:b/>
      <w:bCs/>
    </w:rPr>
  </w:style>
  <w:style w:type="paragraph" w:styleId="a4">
    <w:name w:val="No Spacing"/>
    <w:uiPriority w:val="1"/>
    <w:qFormat/>
    <w:rsid w:val="00A250B5"/>
    <w:rPr>
      <w:caps/>
      <w:sz w:val="24"/>
      <w:szCs w:val="24"/>
    </w:rPr>
  </w:style>
  <w:style w:type="paragraph" w:styleId="a5">
    <w:name w:val="List Paragraph"/>
    <w:aliases w:val="Абзац списка основной,ПАРАГРАФ,Абзац списка2"/>
    <w:basedOn w:val="a"/>
    <w:link w:val="a6"/>
    <w:uiPriority w:val="34"/>
    <w:qFormat/>
    <w:rsid w:val="00DE3B24"/>
    <w:pPr>
      <w:ind w:left="720"/>
      <w:contextualSpacing/>
    </w:pPr>
    <w:rPr>
      <w:lang w:eastAsia="en-US"/>
    </w:rPr>
  </w:style>
  <w:style w:type="table" w:styleId="a7">
    <w:name w:val="Table Grid"/>
    <w:basedOn w:val="a1"/>
    <w:uiPriority w:val="99"/>
    <w:rsid w:val="00DE3B2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Абзац списка основной Знак,ПАРАГРАФ Знак,Абзац списка2 Знак"/>
    <w:basedOn w:val="a0"/>
    <w:link w:val="a5"/>
    <w:uiPriority w:val="34"/>
    <w:locked/>
    <w:rsid w:val="00DE3B2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Ламберушка</dc:creator>
  <cp:lastModifiedBy>Сидорова Н.П.</cp:lastModifiedBy>
  <cp:revision>2</cp:revision>
  <dcterms:created xsi:type="dcterms:W3CDTF">2016-09-24T07:40:00Z</dcterms:created>
  <dcterms:modified xsi:type="dcterms:W3CDTF">2016-09-24T13:14:00Z</dcterms:modified>
</cp:coreProperties>
</file>